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
  <Relationship Id="rId3" Type="http://schemas.openxmlformats.org/package/2006/relationships/metadata/core-properties" Target="docProps/core.xml"></Relationship>
  <Relationship Id="rId4" Type="http://schemas.openxmlformats.org/officeDocument/2006/relationships/extended-properties" Target="docProps/app.xml"></Relationship>
  <Relationship Id="rId1" Type="http://schemas.openxmlformats.org/officeDocument/2006/relationships/officeDocument" Target="word/document.xml"></Relationship>
  <Relationship Id="rId2" Type="http://schemas.openxmlformats.org/package/2006/relationships/metadata/thumbnail" Target="docProps/thumbnail.jpeg"></Relationship>
  <Relationship Id="rId5" Type="http://schemas.openxmlformats.org/officeDocument/2006/relationships/custom-properties" Target="docProps/custom.xml"></Relationship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80"/>
      </w:pPr>
      <w:r>
        <w:rPr>
          <w:rFonts w:eastAsia="思源黑体" w:ascii="Times New Roman" w:hAnsi="Times New Roman" w:cs="Times New Roman"/>
          <w:color w:val="1A1A1A"/>
          <w:sz w:val="40"/>
          <w:szCs w:val="40"/>
        </w:rPr>
        <w:t>企业网络安全自查清单</w:t>
      </w:r>
    </w:p>
    <w:p>
      <w:pPr>
        <w:spacing w:after="200"/>
      </w:pPr>
      <w:r>
        <w:rPr>
          <w:rFonts w:eastAsia="思源黑体" w:ascii="Times New Roman" w:hAnsi="Times New Roman" w:cs="Times New Roman"/>
          <w:color w:val="666666"/>
          <w:sz w:val="21.0"/>
          <w:szCs w:val="21.0"/>
        </w:rPr>
        <w:t>八个检查域 · 六十五项检查条目 · 附检查方法与常见不合格情形</w:t>
      </w:r>
    </w:p>
    <w:p>
      <w:pPr>
        <w:pStyle w:val="Heading2"/>
        <w:pBdr>
          <w:bottom w:val="single" w:sz="6" w:space="2" w:color="D6E2F2"/>
        </w:pBdr>
        <w:spacing w:before="320" w:after="120"/>
      </w:pPr>
      <w:r>
        <w:rPr>
          <w:rFonts w:eastAsia="思源黑体" w:ascii="Times New Roman" w:hAnsi="Times New Roman" w:cs="Times New Roman"/>
          <w:color w:val="1A5FB4"/>
          <w:sz w:val="28"/>
          <w:szCs w:val="28"/>
        </w:rPr>
        <w:t>一、资产与账号</w:t>
      </w:r>
    </w:p>
    <w:tbl>
      <w:tblPr>
        <w:tblW w:type="dxa" w:w="9026"/>
        <w:jc w:val="left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ook w:firstColumn="1" w:firstRow="1" w:lastColumn="0" w:lastRow="0" w:noHBand="0" w:noVBand="1" w:val="04A0"/>
      </w:tblPr>
      <w:tblGrid>
        <w:gridCol w:w="700"/>
        <w:gridCol w:w="1900"/>
        <w:gridCol w:w="3326"/>
        <w:gridCol w:w="3100"/>
      </w:tblGrid>
      <w:tr>
        <w:trPr>
          <w:tblHeader w:val="true"/>
        </w:trP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序号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检查方法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常见不合格情形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联网资产清单完整性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查看资产台账，并与实际扫描结果、云平台资源列表核对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台账缺失，存在未登记的云主机、测试域名或临时IP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2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影子资产排查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定期使用扫描工具探测未登记的对外服务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项目结束后遗留的测试环境仍对外开放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3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账号开通审批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抽查账号开通记录，确认是否有书面审批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口头开通，无审批记录，无法追溯谁申请、谁批准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4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离职转岗账号回收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核对人事变动记录与账号状态，确认是否在规定时限内禁用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离职人员账号数月后仍可登录，权限未回收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5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共用账号现象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检查各系统账号列表，是否存在多人共用同一账号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运维团队共用root或管理员账号，操作无法定位到人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6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管理员账号独立命名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查看管理员账号命名规则，是否与个人账号区分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管理员账号使用个人姓名或工号，权限边界不清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7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管理员多因素认证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登录后台、堡垒机、云平台，验证是否强制双因素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仅使用用户名密码，未启用短信、令牌或生物认证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8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密码策略强度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检查系统密码策略配置，是否要求长度、复杂度、有效期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允许弱口令，密码长期不变，无失败锁定机制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9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密码明文存放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抽查文档、代码仓库、聊天记录，是否存在明文密码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配置文件、Wiki或群聊中记录着生产环境密码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10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特权操作日志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查看管理员操作是否留存日志，日志是否可追溯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特权操作无记录，或日志可被管理员自行删除</w:t>
            </w:r>
          </w:p>
        </w:tc>
      </w:tr>
    </w:tbl>
    <w:p>
      <w:pPr>
        <w:spacing w:after="120"/>
      </w:pPr>
    </w:p>
    <w:p>
      <w:pPr>
        <w:pStyle w:val="Heading2"/>
        <w:pBdr>
          <w:bottom w:val="single" w:sz="6" w:space="2" w:color="D6E2F2"/>
        </w:pBdr>
        <w:spacing w:before="320" w:after="120"/>
      </w:pPr>
      <w:r>
        <w:rPr>
          <w:rFonts w:eastAsia="思源黑体" w:ascii="Times New Roman" w:hAnsi="Times New Roman" w:cs="Times New Roman"/>
          <w:color w:val="1A5FB4"/>
          <w:sz w:val="28"/>
          <w:szCs w:val="28"/>
        </w:rPr>
        <w:t>二、边界与访问控制</w:t>
      </w:r>
    </w:p>
    <w:tbl>
      <w:tblPr>
        <w:tblW w:type="dxa" w:w="9026"/>
        <w:jc w:val="left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ook w:firstColumn="1" w:firstRow="1" w:lastColumn="0" w:lastRow="0" w:noHBand="0" w:noVBand="1" w:val="04A0"/>
      </w:tblPr>
      <w:tblGrid>
        <w:gridCol w:w="700"/>
        <w:gridCol w:w="1900"/>
        <w:gridCol w:w="3326"/>
        <w:gridCol w:w="3100"/>
      </w:tblGrid>
      <w:tr>
        <w:trPr>
          <w:tblHeader w:val="true"/>
        </w:trP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序号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检查方法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常见不合格情形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对外暴露端口最小化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使用端口扫描工具检查公网IP开放端口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开放了不必要的数据库、远程桌面、调试端口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2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VPN与堡垒机双因素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尝试登录VPN、堡垒机，确认是否强制双因素认证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仅凭密码即可接入内网，无二次验证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3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远程运维统一跳转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检查运维人员是否必须经堡垒机访问服务器，操作是否留痕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运维人员可直连服务器，绕过堡垒机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4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办公网与核心区隔离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从办公终端尝试连接核心数据库或生产服务器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办公网可直接访问数据库，无访问控制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5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安全组策略复核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检查云平台安全组规则，是否定期清理过期规则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存在0.0.0.0/0放行的高危端口规则，长期未调整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6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WAF与DDoS防护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确认WAF是否开启，防护策略是否定期更新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WAF仅记录不拦截，或策略默认放行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7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暴露面定期扫描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是否每月或每季度对公网资产进行扫描梳理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从未主动扫描，新上线资产未纳入监控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8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无线网络访客隔离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检查访客WiFi是否与内部网络隔离，是否单独认证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访客WiFi密码长期不变，可访问内部资源</w:t>
            </w:r>
          </w:p>
        </w:tc>
      </w:tr>
    </w:tbl>
    <w:p>
      <w:pPr>
        <w:spacing w:after="120"/>
      </w:pPr>
    </w:p>
    <w:p>
      <w:pPr>
        <w:pStyle w:val="Heading2"/>
        <w:pBdr>
          <w:bottom w:val="single" w:sz="6" w:space="2" w:color="D6E2F2"/>
        </w:pBdr>
        <w:spacing w:before="320" w:after="120"/>
      </w:pPr>
      <w:r>
        <w:rPr>
          <w:rFonts w:eastAsia="思源黑体" w:ascii="Times New Roman" w:hAnsi="Times New Roman" w:cs="Times New Roman"/>
          <w:color w:val="1A5FB4"/>
          <w:sz w:val="28"/>
          <w:szCs w:val="28"/>
        </w:rPr>
        <w:t>三、终端与服务器</w:t>
      </w:r>
    </w:p>
    <w:tbl>
      <w:tblPr>
        <w:tblW w:type="dxa" w:w="9026"/>
        <w:jc w:val="left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ook w:firstColumn="1" w:firstRow="1" w:lastColumn="0" w:lastRow="0" w:noHBand="0" w:noVBand="1" w:val="04A0"/>
      </w:tblPr>
      <w:tblGrid>
        <w:gridCol w:w="700"/>
        <w:gridCol w:w="1900"/>
        <w:gridCol w:w="3326"/>
        <w:gridCol w:w="3100"/>
      </w:tblGrid>
      <w:tr>
        <w:trPr>
          <w:tblHeader w:val="true"/>
        </w:trP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序号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检查方法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常见不合格情形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终端防护软件覆盖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抽查终端，确认是否统一安装防护软件并保持在线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部分终端未安装，或安装后长期离线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2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操作系统补丁更新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查看补丁管理记录，确认更新周期和责任人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补丁更新无计划，关键漏洞修复滞后数月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3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中间件与数据库补丁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检查中间件、数据库版本，是否及时更新安全补丁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使用已停止维护的版本，存在已知高危漏洞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4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服务器安全基线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检查是否修改默认账号、端口，禁用不必要组件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默认端口未改，默认账号未禁用，开启多余服务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5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开源组件漏洞排查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使用SCA工具扫描第三方依赖，确认是否有已知漏洞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引入的开源库多年未更新，存在高危CVE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6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服务器横向隔离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检查服务器之间是否按业务分区隔离，有无微隔离策略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内网全通，一台失陷可直达核心数据库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7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不必要的共享与服务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检查服务器是否关闭默认共享、远程注册表等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开启SMB共享、Telnet等不必要服务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8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服务器登录方式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确认是否使用密钥或强密码，是否禁用root直接登录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允许root远程登录，使用弱密码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9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终端磁盘加密与锁屏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抽查笔记本电脑是否启用磁盘加密，是否设置自动锁屏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设备丢失后数据可被直接读取，无锁屏密码</w:t>
            </w:r>
          </w:p>
        </w:tc>
      </w:tr>
    </w:tbl>
    <w:p>
      <w:pPr>
        <w:spacing w:after="120"/>
      </w:pPr>
    </w:p>
    <w:p>
      <w:pPr>
        <w:pStyle w:val="Heading2"/>
        <w:pBdr>
          <w:bottom w:val="single" w:sz="6" w:space="2" w:color="D6E2F2"/>
        </w:pBdr>
        <w:spacing w:before="320" w:after="120"/>
      </w:pPr>
      <w:r>
        <w:rPr>
          <w:rFonts w:eastAsia="思源黑体" w:ascii="Times New Roman" w:hAnsi="Times New Roman" w:cs="Times New Roman"/>
          <w:color w:val="1A5FB4"/>
          <w:sz w:val="28"/>
          <w:szCs w:val="28"/>
        </w:rPr>
        <w:t>四、数据与备份</w:t>
      </w:r>
    </w:p>
    <w:tbl>
      <w:tblPr>
        <w:tblW w:type="dxa" w:w="9026"/>
        <w:jc w:val="left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ook w:firstColumn="1" w:firstRow="1" w:lastColumn="0" w:lastRow="0" w:noHBand="0" w:noVBand="1" w:val="04A0"/>
      </w:tblPr>
      <w:tblGrid>
        <w:gridCol w:w="700"/>
        <w:gridCol w:w="1900"/>
        <w:gridCol w:w="3326"/>
        <w:gridCol w:w="3100"/>
      </w:tblGrid>
      <w:tr>
        <w:trPr>
          <w:tblHeader w:val="true"/>
        </w:trP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序号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检查方法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常见不合格情形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数据分类分级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查看数据分类分级文档，是否明确核心数据范围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未做分类分级，所有数据同等对待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2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核心数据加密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检查核心数据在存储和传输环节是否加密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数据库明文存储，传输使用HTTP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3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备份多副本与离线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检查备份策略，是否多副本、异介质、至少一份离线或不可变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仅本地一份备份，与生产环境同网络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4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恢复演练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查看恢复演练记录，确认最近一次演练时间和耗时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从未做过恢复演练，备份是否可用未知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5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备份账号隔离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确认备份系统账号是否与生产环境隔离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备份账号与生产管理员账号相同，可被一并攻陷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6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数据导出审批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抽查数据导出记录，是否有审批和留痕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业务人员可随意导出客户数据，无审批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7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测试数据脱敏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检查测试、开发环境是否使用脱敏后的数据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直接将生产数据复制到测试库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8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数据销毁流程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检查退役硬盘、过期数据是否有销毁记录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旧硬盘直接丢弃或转卖，未做数据擦除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9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数据安全责任人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是否明确数据安全责任人及其职责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无人对数据安全整体负责，责任分散</w:t>
            </w:r>
          </w:p>
        </w:tc>
      </w:tr>
    </w:tbl>
    <w:p>
      <w:pPr>
        <w:spacing w:after="120"/>
      </w:pPr>
    </w:p>
    <w:p>
      <w:pPr>
        <w:pStyle w:val="Heading2"/>
        <w:pBdr>
          <w:bottom w:val="single" w:sz="6" w:space="2" w:color="D6E2F2"/>
        </w:pBdr>
        <w:spacing w:before="320" w:after="120"/>
      </w:pPr>
      <w:r>
        <w:rPr>
          <w:rFonts w:eastAsia="思源黑体" w:ascii="Times New Roman" w:hAnsi="Times New Roman" w:cs="Times New Roman"/>
          <w:color w:val="1A5FB4"/>
          <w:sz w:val="28"/>
          <w:szCs w:val="28"/>
        </w:rPr>
        <w:t>五、日志与监测</w:t>
      </w:r>
    </w:p>
    <w:tbl>
      <w:tblPr>
        <w:tblW w:type="dxa" w:w="9026"/>
        <w:jc w:val="left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ook w:firstColumn="1" w:firstRow="1" w:lastColumn="0" w:lastRow="0" w:noHBand="0" w:noVBand="1" w:val="04A0"/>
      </w:tblPr>
      <w:tblGrid>
        <w:gridCol w:w="700"/>
        <w:gridCol w:w="1900"/>
        <w:gridCol w:w="3326"/>
        <w:gridCol w:w="3100"/>
      </w:tblGrid>
      <w:tr>
        <w:trPr>
          <w:tblHeader w:val="true"/>
        </w:trP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序号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检查方法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常见不合格情形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日志集中收集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检查关键系统与安全设备日志是否接入集中平台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日志分散在各设备，未集中，难以关联分析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2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日志留存时间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确认日志留存是否满足合规与取证需要（通常不少于6个月）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日志仅保留数天，事件发生后无法追溯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3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异常行为告警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检查是否对异常登录、批量导出、权限变更等设置告警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无任何告警规则，仅靠人工查看日志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4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告警响应流程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确认告警是否有专人响应，是否有处理流程和值班安排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告警邮件无人查看，或查看后无处置记录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5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漏洞扫描周期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检查是否定期开展漏洞扫描，扫描范围是否覆盖全部资产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仅每年一次，且扫描范围不完整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6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渗透测试闭环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查看渗透测试报告，确认发现问题是否整改并复测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测试报告归档后无人跟进，问题依旧存在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7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入侵检测与主机监测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检查是否部署IDS/IPS或主机安全监测工具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仅依靠边界防火墙，内部无监测手段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8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安全事件记录与复盘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查看安全事件记录，是否每次事件都有复盘和改进措施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事件处置后无记录，同类问题反复发生</w:t>
            </w:r>
          </w:p>
        </w:tc>
      </w:tr>
    </w:tbl>
    <w:p>
      <w:pPr>
        <w:spacing w:after="120"/>
      </w:pPr>
    </w:p>
    <w:p>
      <w:pPr>
        <w:pStyle w:val="Heading2"/>
        <w:pBdr>
          <w:bottom w:val="single" w:sz="6" w:space="2" w:color="D6E2F2"/>
        </w:pBdr>
        <w:spacing w:before="320" w:after="120"/>
      </w:pPr>
      <w:r>
        <w:rPr>
          <w:rFonts w:eastAsia="思源黑体" w:ascii="Times New Roman" w:hAnsi="Times New Roman" w:cs="Times New Roman"/>
          <w:color w:val="1A5FB4"/>
          <w:sz w:val="28"/>
          <w:szCs w:val="28"/>
        </w:rPr>
        <w:t>六、人员与制度</w:t>
      </w:r>
    </w:p>
    <w:tbl>
      <w:tblPr>
        <w:tblW w:type="dxa" w:w="9026"/>
        <w:jc w:val="left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ook w:firstColumn="1" w:firstRow="1" w:lastColumn="0" w:lastRow="0" w:noHBand="0" w:noVBand="1" w:val="04A0"/>
      </w:tblPr>
      <w:tblGrid>
        <w:gridCol w:w="700"/>
        <w:gridCol w:w="1900"/>
        <w:gridCol w:w="3326"/>
        <w:gridCol w:w="3100"/>
      </w:tblGrid>
      <w:tr>
        <w:trPr>
          <w:tblHeader w:val="true"/>
        </w:trP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序号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检查方法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常见不合格情形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保密协议签署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抽查员工档案，确认是否签署保密协议与安全责任承诺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部分员工未签署，或协议过期未续签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2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年度安全培训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查看培训记录，确认是否每年至少组织一次安全培训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从未组织，或培训仅走过场无考核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3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钓鱼邮件演练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确认是否定期开展钓鱼邮件演练，并统计点击率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从未演练，员工对钓鱼邮件无识别能力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4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账号与权限流程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检查账号申请、权限变更、数据导出是否有书面流程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流程仅口头约定，无表单和审批记录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5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安全责任到岗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确认安全责任是否落到具体岗位，而非“各部门共同负责”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责任模糊，出事无人牵头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6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信息安全制度发布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检查是否制定并发布信息安全管理制度，员工是否可获取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制度仅存在文档中，未正式发布和宣贯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7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违规处罚措施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确认制度中是否包含对安全违规行为的处罚条款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无处罚措施，制度缺乏约束力</w:t>
            </w:r>
          </w:p>
        </w:tc>
      </w:tr>
    </w:tbl>
    <w:p>
      <w:pPr>
        <w:spacing w:after="120"/>
      </w:pPr>
    </w:p>
    <w:p>
      <w:pPr>
        <w:pStyle w:val="Heading2"/>
        <w:pBdr>
          <w:bottom w:val="single" w:sz="6" w:space="2" w:color="D6E2F2"/>
        </w:pBdr>
        <w:spacing w:before="320" w:after="120"/>
      </w:pPr>
      <w:r>
        <w:rPr>
          <w:rFonts w:eastAsia="思源黑体" w:ascii="Times New Roman" w:hAnsi="Times New Roman" w:cs="Times New Roman"/>
          <w:color w:val="1A5FB4"/>
          <w:sz w:val="28"/>
          <w:szCs w:val="28"/>
        </w:rPr>
        <w:t>七、供应链与第三方</w:t>
      </w:r>
    </w:p>
    <w:tbl>
      <w:tblPr>
        <w:tblW w:type="dxa" w:w="9026"/>
        <w:jc w:val="left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ook w:firstColumn="1" w:firstRow="1" w:lastColumn="0" w:lastRow="0" w:noHBand="0" w:noVBand="1" w:val="04A0"/>
      </w:tblPr>
      <w:tblGrid>
        <w:gridCol w:w="700"/>
        <w:gridCol w:w="1900"/>
        <w:gridCol w:w="3326"/>
        <w:gridCol w:w="3100"/>
      </w:tblGrid>
      <w:tr>
        <w:trPr>
          <w:tblHeader w:val="true"/>
        </w:trP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序号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检查方法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常见不合格情形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供应商安全资质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检查供应商是否提供必要的安全资质与合规证明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未收集供应商资质，对其安全能力不了解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2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第三方接入账号管理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确认第三方远程接入账号是否临时开通、到期自动回收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供应商账号长期有效，项目结束后未回收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3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外包代码安全审查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检查外包开发交付的代码是否经过安全审查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外包代码直接上线，未做安全测试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4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SaaS数据归属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确认SaaS工具是否明确数据归属与导出方式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数据存储在SaaS平台，无法导出，归属不清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5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供应商保密协议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检查是否与供应商签订安全保密协议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无保密协议，数据泄露责任无法追究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6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供应商定期评估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确认是否对供应商进行定期安全评估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合作后从未评估，供应商安全状况变化未知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7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安全事件通报渠道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确认是否掌握供应商安全事件通报渠道和联系人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供应商出事时无法及时获知，被动响应</w:t>
            </w:r>
          </w:p>
        </w:tc>
      </w:tr>
    </w:tbl>
    <w:p>
      <w:pPr>
        <w:spacing w:after="120"/>
      </w:pPr>
    </w:p>
    <w:p>
      <w:pPr>
        <w:pStyle w:val="Heading2"/>
        <w:pBdr>
          <w:bottom w:val="single" w:sz="6" w:space="2" w:color="D6E2F2"/>
        </w:pBdr>
        <w:spacing w:before="320" w:after="120"/>
      </w:pPr>
      <w:r>
        <w:rPr>
          <w:rFonts w:eastAsia="思源黑体" w:ascii="Times New Roman" w:hAnsi="Times New Roman" w:cs="Times New Roman"/>
          <w:color w:val="1A5FB4"/>
          <w:sz w:val="28"/>
          <w:szCs w:val="28"/>
        </w:rPr>
        <w:t>八、应急响应</w:t>
      </w:r>
    </w:p>
    <w:tbl>
      <w:tblPr>
        <w:tblW w:type="dxa" w:w="9026"/>
        <w:jc w:val="left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ook w:firstColumn="1" w:firstRow="1" w:lastColumn="0" w:lastRow="0" w:noHBand="0" w:noVBand="1" w:val="04A0"/>
      </w:tblPr>
      <w:tblGrid>
        <w:gridCol w:w="700"/>
        <w:gridCol w:w="1900"/>
        <w:gridCol w:w="3326"/>
        <w:gridCol w:w="3100"/>
      </w:tblGrid>
      <w:tr>
        <w:trPr>
          <w:tblHeader w:val="true"/>
        </w:trP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序号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检查项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检查方法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/>
                <w:color w:val="1A1A1A"/>
                <w:sz w:val="21.0"/>
                <w:szCs w:val="21.0"/>
              </w:rPr>
              <w:t>常见不合格情形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1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书面应急预案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检查是否有书面应急预案并明确联系人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无成文预案，仅凭个人经验处置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2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应急演练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确认是否至少完成过一次应急演练，是否有记录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从未演练，预案停留在纸面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3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事件报告对象与时限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确认是否清楚事件发生后向谁报告、按什么时限报告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报告路径不清，延误上报时机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4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取证与留痕能力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检查是否具备基本的取证与留痕能力，避免破坏证据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处置时直接重装系统，关键证据丢失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5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事件分级标准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确认是否建立安全事件分级标准，不同级别对应不同响应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所有事件同等对待，资源分配不合理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6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外部联系机制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确认是否与外部安全机构或监管保持联系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无外部支持渠道，事件发生后孤立无援</w:t>
            </w:r>
          </w:p>
        </w:tc>
      </w:tr>
      <w:tr>
        <w:tc>
          <w:tcPr>
            <w:tcW w:type="dxa" w:w="7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7</w:t>
            </w:r>
          </w:p>
        </w:tc>
        <w:tc>
          <w:tcPr>
            <w:tcW w:type="dxa" w:w="19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预案定期评审</w:t>
            </w:r>
          </w:p>
        </w:tc>
        <w:tc>
          <w:tcPr>
            <w:tcW w:type="dxa" w:w="332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检查应急预案是否定期评审和更新</w:t>
            </w:r>
          </w:p>
        </w:tc>
        <w:tc>
          <w:tcPr>
            <w:tcW w:type="dxa" w:w="310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40" w:after="40" w:line="276" w:lineRule="auto"/>
            </w:pPr>
            <w:r/>
            <w:r>
              <w:rPr>
                <w:rFonts w:eastAsia="思源黑体" w:ascii="Times New Roman" w:hAnsi="Times New Roman" w:cs="Times New Roman"/>
                <w:b w:val="0"/>
                <w:color w:val="1A1A1A"/>
                <w:sz w:val="21.0"/>
                <w:szCs w:val="21.0"/>
              </w:rPr>
              <w:t>预案制定后多年未更新，联系人和流程已失效</w:t>
            </w:r>
          </w:p>
        </w:tc>
      </w:tr>
    </w:tbl>
    <w:p>
      <w:pPr>
        <w:spacing w:after="120"/>
      </w:pPr>
    </w:p>
    <w:p>
      <w:pPr>
        <w:spacing w:before="160"/>
      </w:pPr>
      <w:r>
        <w:rPr>
          <w:rFonts w:eastAsia="思源黑体" w:ascii="Times New Roman" w:hAnsi="Times New Roman" w:cs="Times New Roman"/>
          <w:color w:val="888888"/>
          <w:sz w:val="19.0"/>
          <w:szCs w:val="19.0"/>
        </w:rPr>
        <w:t>本清单共八个检查域、六十五项检查条目。建议首次全面自查后，将高风险项两周内整改，中风险项纳入季度计划，并每半年复盘一次。可根据企业自身业务特点增删条目。</w:t>
      </w:r>
    </w:p>
    <w:sectPr w:rsidR="00FC693F" w:rsidRPr="0006063C" w:rsidSect="00034616">
      <w:footerReference w:type="default" r:id="rId9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eastAsia="思源黑体" w:ascii="Times New Roman" w:hAnsi="Times New Roman" w:cs="Times New Roman"/>
      </w:rPr>
      <w:t xml:space="preserve">第 </w:t>
    </w:r>
    <w:fldSimple w:instr="PAGE"/>
    <w:r>
      <w:rPr>
        <w:rFonts w:eastAsia="思源黑体" w:ascii="Times New Roman" w:hAnsi="Times New Roman" w:cs="Times New Roman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思源黑体"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思源黑体" w:ascii="Times New Roman" w:hAnsi="Times New Roman" w:cs="Times New Roman"/>
      <w:b/>
      <w:bCs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思源黑体" w:ascii="Times New Roman" w:hAnsi="Times New Roman" w:cs="Times New Roman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思源黑体" w:ascii="Times New Roman" w:hAnsi="Times New Roman" w:cs="Times New Roman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{"Label":"1","ContentProducer":"001191440300708461136T1WFUO","ProduceID":"3105de419670775e4c520dbed0d14a25-AvWp","ReservedCode1":"{\"Type\":\" TC260PG\",\"Version\":1,\"Bindings\":[{\"Type\":\"soft\",\"AlgID\":\"sm3\",\"Value\":\"4bc639cddf1777d1e1a0a321b94a559ffcd64035badbea6061199590afee0441\"},{\"Type\":\"hash\",\"AlgID\":\"sm3\",\"Value\":\"d99db36d898c0a0ed8a48461550860caaeff1a73e527ccefe4d1cf18463dda64\"}],\"PubSD\":[{\"Type\":\"DS\",\"AlgID\":\"sm2\",\"TBSData\":{\"Type\":\"Binding\",\"BType\":\"hash\"},\"Signature\":\"304502200d031305f5b208e1b6c9b908583573905dfb4f2f15f181ac705cd9ae4c6fbc56022100daae2b2229ec4b97f67dbc82d3a12adc6d1681a8ee4e84c678676d6f6bcbda44\"},{\"Type\":\"PubKey\",\"AlgID\":\"sm2\",\"KeyValue\":\"0407f79b28a17a752b3aae4305c98b48978213832729a2571850b1310b2bc9fe8fee039ccf25ebfeac27502414d9fcef792d777183c98893d226171c2f7a3289a2\"}],\"Extension\":{\"Timestamp\":1791426446,\"KeyVersion\":\"v1-TxLeOmf7bqU223\"}}","ContentPropagator":"001191440300708461136T1WFUO","PropagateID":"3105de419670775e4c520dbed0d14a25-AvWp","ReservedCode2":"{\"Type\":\" TC260PG\",\"Version\":1,\"Bindings\":[{\"Type\":\"soft\",\"AlgID\":\"sm3\",\"Value\":\"4bc639cddf1777d1e1a0a321b94a559ffcd64035badbea6061199590afee0441\"},{\"Type\":\"hash\",\"AlgID\":\"sm3\",\"Value\":\"d99db36d898c0a0ed8a48461550860caaeff1a73e527ccefe4d1cf18463dda64\"}],\"PubSD\":[{\"Type\":\"DS\",\"AlgID\":\"sm2\",\"TBSData\":{\"Type\":\"Binding\",\"BType\":\"hash\"},\"Signature\":\"304502201be27499ac8d5881cff0642d27e3a46167f3011973f120700015084f222d8aa4022100e04ed6e466c544fe8127fcc3b8b1568faf5ae6f46aa3bcd2a52d24d6aec1a867\"},{\"Type\":\"PubKey\",\"AlgID\":\"sm2\",\"KeyValue\":\"0407f79b28a17a752b3aae4305c98b48978213832729a2571850b1310b2bc9fe8fee039ccf25ebfeac27502414d9fcef792d777183c98893d226171c2f7a3289a2\"}],\"Extension\":{\"Timestamp\":1791426446,\"KeyVersion\":\"v1-TxLeOmf7bqU223\"}}"}</vt:lpwstr>
  </property>
</Properties>
</file>